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rPr>
          <w:rFonts w:ascii="宋体" w:hAnsi="宋体" w:eastAsia="宋体"/>
          <w:sz w:val="28"/>
          <w:szCs w:val="28"/>
        </w:rPr>
      </w:pPr>
      <w:r>
        <w:rPr>
          <w:rStyle w:val="6"/>
          <w:rFonts w:ascii="宋体" w:hAnsi="宋体" w:eastAsia="宋体" w:cs="Arial"/>
          <w:sz w:val="28"/>
          <w:szCs w:val="28"/>
        </w:rPr>
        <w:t>1</w:t>
      </w:r>
      <w:r>
        <w:rPr>
          <w:rStyle w:val="6"/>
          <w:rFonts w:hint="eastAsia" w:ascii="宋体" w:hAnsi="宋体" w:eastAsia="宋体" w:cs="Arial"/>
          <w:sz w:val="28"/>
          <w:szCs w:val="28"/>
        </w:rPr>
        <w:t>、</w:t>
      </w:r>
      <w:r>
        <w:rPr>
          <w:rStyle w:val="6"/>
          <w:rFonts w:ascii="宋体" w:hAnsi="宋体" w:eastAsia="宋体" w:cs="Arial"/>
          <w:sz w:val="28"/>
          <w:szCs w:val="28"/>
        </w:rPr>
        <w:t>开始运行仪器</w:t>
      </w:r>
    </w:p>
    <w:p>
      <w:pPr>
        <w:snapToGrid w:val="0"/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1.1打开电脑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snapToGrid w:val="0"/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1.2打开定量PCR仪底座开关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snapToGrid w:val="0"/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1.3启动CFX Manager软件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napToGrid w:val="0"/>
        <w:spacing w:line="440" w:lineRule="exact"/>
        <w:rPr>
          <w:rStyle w:val="6"/>
          <w:rFonts w:ascii="宋体" w:hAnsi="宋体" w:eastAsia="宋体" w:cs="Arial"/>
          <w:sz w:val="28"/>
          <w:szCs w:val="28"/>
        </w:rPr>
      </w:pPr>
      <w:r>
        <w:rPr>
          <w:rStyle w:val="6"/>
          <w:rFonts w:ascii="宋体" w:hAnsi="宋体" w:eastAsia="宋体" w:cs="Arial"/>
          <w:sz w:val="28"/>
          <w:szCs w:val="28"/>
        </w:rPr>
        <w:t>2</w:t>
      </w:r>
      <w:r>
        <w:rPr>
          <w:rStyle w:val="6"/>
          <w:rFonts w:hint="eastAsia" w:ascii="宋体" w:hAnsi="宋体" w:eastAsia="宋体" w:cs="Arial"/>
          <w:sz w:val="28"/>
          <w:szCs w:val="28"/>
        </w:rPr>
        <w:t>、</w:t>
      </w:r>
      <w:r>
        <w:rPr>
          <w:rStyle w:val="6"/>
          <w:rFonts w:ascii="宋体" w:hAnsi="宋体" w:eastAsia="宋体" w:cs="Arial"/>
          <w:sz w:val="28"/>
          <w:szCs w:val="28"/>
        </w:rPr>
        <w:t>放置样品</w:t>
      </w:r>
    </w:p>
    <w:p>
      <w:pPr>
        <w:snapToGrid w:val="0"/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2.1将PCR反应体系加入到0.2ml底</w:t>
      </w:r>
      <w:bookmarkStart w:id="0" w:name="_GoBack"/>
      <w:bookmarkEnd w:id="0"/>
      <w:r>
        <w:rPr>
          <w:rFonts w:ascii="宋体" w:hAnsi="宋体" w:eastAsia="宋体"/>
          <w:sz w:val="24"/>
          <w:szCs w:val="24"/>
        </w:rPr>
        <w:t>缘八联管，盖上管盖；或加入底缘96孔板，用光学级封膜封好。</w:t>
      </w:r>
    </w:p>
    <w:p>
      <w:pPr>
        <w:snapToGrid w:val="0"/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注意，必须戴一次性塑料手套，不要让手指接触到反应管表面。将反应管按顺序放入仪器的加热孔中。</w:t>
      </w:r>
    </w:p>
    <w:p>
      <w:pPr>
        <w:snapToGrid w:val="0"/>
        <w:spacing w:line="440" w:lineRule="exact"/>
        <w:rPr>
          <w:rStyle w:val="6"/>
          <w:rFonts w:ascii="宋体" w:hAnsi="宋体" w:eastAsia="宋体" w:cs="Arial"/>
          <w:sz w:val="28"/>
          <w:szCs w:val="28"/>
        </w:rPr>
      </w:pPr>
      <w:r>
        <w:rPr>
          <w:rStyle w:val="6"/>
          <w:rFonts w:ascii="宋体" w:hAnsi="宋体" w:eastAsia="宋体" w:cs="Arial"/>
          <w:sz w:val="28"/>
          <w:szCs w:val="28"/>
        </w:rPr>
        <w:t>3、设置程序，运行试验</w:t>
      </w:r>
    </w:p>
    <w:p>
      <w:pPr>
        <w:snapToGrid w:val="0"/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3.1定量PCR软件操作基本步骤为：</w:t>
      </w:r>
    </w:p>
    <w:p>
      <w:pPr>
        <w:snapToGrid w:val="0"/>
        <w:spacing w:line="440" w:lineRule="exact"/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a.设置热循环程序文件</w:t>
      </w: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protocol tab</w:t>
      </w:r>
      <w:r>
        <w:rPr>
          <w:rFonts w:hint="eastAsia" w:ascii="宋体" w:hAnsi="宋体" w:eastAsia="宋体"/>
          <w:sz w:val="24"/>
          <w:szCs w:val="24"/>
        </w:rPr>
        <w:t>）；</w:t>
      </w:r>
    </w:p>
    <w:p>
      <w:pPr>
        <w:snapToGrid w:val="0"/>
        <w:spacing w:line="440" w:lineRule="exact"/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b.设置反应板文件（plate tab）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snapToGrid w:val="0"/>
        <w:spacing w:line="440" w:lineRule="exact"/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c.点击"start run"键，运行程序。</w:t>
      </w:r>
    </w:p>
    <w:p>
      <w:pPr>
        <w:snapToGrid w:val="0"/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3.2热循环程序文件</w:t>
      </w: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protocol tab</w:t>
      </w:r>
      <w:r>
        <w:rPr>
          <w:rFonts w:hint="eastAsia" w:ascii="宋体" w:hAnsi="宋体" w:eastAsia="宋体"/>
          <w:sz w:val="24"/>
          <w:szCs w:val="24"/>
        </w:rPr>
        <w:t>）</w:t>
      </w:r>
      <w:r>
        <w:rPr>
          <w:rFonts w:ascii="宋体" w:hAnsi="宋体" w:eastAsia="宋体"/>
          <w:sz w:val="24"/>
          <w:szCs w:val="24"/>
        </w:rPr>
        <w:t>设置指南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>点击edit（编辑）或create new（创建新程序）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snapToGrid w:val="0"/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3.3反应板设置文件（plate tab）设置指南：选择本次试验所需要使用的荧光染料种类；单机样品类型；如要某些反应孔第一荧光染料对应的样品类型为标准品（standard），点击‘dilution series’键可设置其标准品浓度及稀释倍数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snapToGrid w:val="0"/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3.4点击‘start run’键。单击‘open lid’（打开热盖）或‘close lid’（关闭热盖）放置样品</w:t>
      </w:r>
      <w:r>
        <w:rPr>
          <w:rFonts w:hint="eastAsia" w:ascii="宋体" w:hAnsi="宋体" w:eastAsia="宋体"/>
          <w:sz w:val="24"/>
          <w:szCs w:val="24"/>
        </w:rPr>
        <w:t>；</w:t>
      </w:r>
      <w:r>
        <w:rPr>
          <w:rFonts w:ascii="宋体" w:hAnsi="宋体" w:eastAsia="宋体"/>
          <w:sz w:val="24"/>
          <w:szCs w:val="24"/>
        </w:rPr>
        <w:t>单击start run，保存文件，开始运行程序。</w:t>
      </w:r>
    </w:p>
    <w:p>
      <w:pPr>
        <w:snapToGrid w:val="0"/>
        <w:spacing w:line="440" w:lineRule="exact"/>
        <w:rPr>
          <w:rStyle w:val="6"/>
          <w:rFonts w:ascii="宋体" w:hAnsi="宋体" w:eastAsia="宋体" w:cs="Arial"/>
          <w:sz w:val="28"/>
          <w:szCs w:val="28"/>
        </w:rPr>
      </w:pPr>
      <w:r>
        <w:rPr>
          <w:rStyle w:val="6"/>
          <w:rFonts w:ascii="宋体" w:hAnsi="宋体" w:eastAsia="宋体" w:cs="Arial"/>
          <w:sz w:val="28"/>
          <w:szCs w:val="28"/>
        </w:rPr>
        <w:t>4、结果分析</w:t>
      </w:r>
    </w:p>
    <w:p>
      <w:pPr>
        <w:snapToGrid w:val="0"/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4.1PCR反应结束后，软件会自动计算标准曲线和CT值等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snapToGrid w:val="0"/>
        <w:spacing w:line="440" w:lineRule="exac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4.2如需进行表达量分析、等位基因分析等，在软件窗口选择相应分析功能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snapToGrid w:val="0"/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4.3点击右上方的‘Report’键，还可输出结果报告单。</w:t>
      </w:r>
    </w:p>
    <w:p>
      <w:pPr>
        <w:snapToGrid w:val="0"/>
        <w:spacing w:line="440" w:lineRule="exact"/>
        <w:rPr>
          <w:rStyle w:val="6"/>
          <w:rFonts w:ascii="宋体" w:hAnsi="宋体" w:eastAsia="宋体" w:cs="Arial"/>
          <w:sz w:val="28"/>
          <w:szCs w:val="28"/>
        </w:rPr>
      </w:pPr>
      <w:r>
        <w:rPr>
          <w:rStyle w:val="6"/>
          <w:rFonts w:ascii="宋体" w:hAnsi="宋体" w:eastAsia="宋体" w:cs="Arial"/>
          <w:sz w:val="28"/>
          <w:szCs w:val="28"/>
        </w:rPr>
        <w:t>5、关闭运行仪器</w:t>
      </w:r>
    </w:p>
    <w:p>
      <w:pPr>
        <w:snapToGrid w:val="0"/>
        <w:spacing w:line="440" w:lineRule="exac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5.1实验结束后取出反应管，顺序关闭CFX Manager软件、定量PCR仪电源，关闭电脑。</w:t>
      </w:r>
    </w:p>
    <w:p>
      <w:pPr>
        <w:snapToGrid w:val="0"/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Style w:val="6"/>
          <w:rFonts w:ascii="宋体" w:hAnsi="宋体" w:eastAsia="宋体" w:cs="Arial"/>
          <w:sz w:val="24"/>
          <w:szCs w:val="24"/>
        </w:rPr>
        <w:t>注意！CFX仪器上盖部分为全自动控制，在通电状态，严禁任何人为干涉上盖开启或关闭的行为，此类行为会导致上盖故障，危及仪器使用</w:t>
      </w:r>
      <w:r>
        <w:rPr>
          <w:rStyle w:val="6"/>
          <w:rFonts w:hint="eastAsia" w:ascii="宋体" w:hAnsi="宋体" w:eastAsia="宋体" w:cs="Arial"/>
          <w:sz w:val="24"/>
          <w:szCs w:val="24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  <w:sz w:val="24"/>
        <w:szCs w:val="24"/>
      </w:rPr>
    </w:pPr>
    <w:r>
      <w:rPr>
        <w:rFonts w:hint="eastAsia"/>
        <w:sz w:val="24"/>
        <w:szCs w:val="24"/>
        <w:lang w:val="en-US" w:eastAsia="zh-CN"/>
      </w:rPr>
      <w:t xml:space="preserve">广西心脑血管疾病防治精准重点实验室         </w:t>
    </w:r>
    <w:r>
      <w:rPr>
        <w:rFonts w:hint="eastAsia"/>
        <w:sz w:val="24"/>
        <w:szCs w:val="24"/>
      </w:rPr>
      <w:t>美国伯乐CFX96荧光定量PCR</w:t>
    </w:r>
  </w:p>
  <w:p>
    <w:pPr>
      <w:pStyle w:val="3"/>
      <w:jc w:val="left"/>
      <w:rPr>
        <w:sz w:val="24"/>
        <w:szCs w:val="24"/>
      </w:rPr>
    </w:pPr>
    <w:r>
      <w:rPr>
        <w:rFonts w:hint="eastAsia"/>
        <w:sz w:val="24"/>
        <w:szCs w:val="24"/>
        <w:lang w:val="en-US" w:eastAsia="zh-CN"/>
      </w:rPr>
      <w:t xml:space="preserve">           </w:t>
    </w:r>
    <w:r>
      <w:rPr>
        <w:rFonts w:hint="eastAsia"/>
        <w:sz w:val="24"/>
        <w:szCs w:val="24"/>
        <w:lang w:eastAsia="zh-CN"/>
      </w:rPr>
      <w:t>作业指导书</w:t>
    </w:r>
    <w:r>
      <w:rPr>
        <w:rFonts w:hint="eastAsia"/>
        <w:sz w:val="24"/>
        <w:szCs w:val="24"/>
        <w:lang w:val="en-US" w:eastAsia="zh-CN"/>
      </w:rPr>
      <w:t xml:space="preserve">                              操作说明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CE"/>
    <w:rsid w:val="00554158"/>
    <w:rsid w:val="006275CB"/>
    <w:rsid w:val="006B6F3C"/>
    <w:rsid w:val="007021D3"/>
    <w:rsid w:val="009572BD"/>
    <w:rsid w:val="00B91DCE"/>
    <w:rsid w:val="30224E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662</Characters>
  <Lines>5</Lines>
  <Paragraphs>1</Paragraphs>
  <TotalTime>0</TotalTime>
  <ScaleCrop>false</ScaleCrop>
  <LinksUpToDate>false</LinksUpToDate>
  <CharactersWithSpaces>777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2021-08-26T02:37:00Z</dcterms:created>
  <dc:creator>白 灵</dc:creator>
  <cp:lastModifiedBy>Admin</cp:lastModifiedBy>
  <dcterms:modified xsi:type="dcterms:W3CDTF">2021-08-27T09:21:21Z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